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 w:before="0"/>
      </w:pPr>
      <w:r>
        <w:rPr>
          <w:b/>
          <w:bCs/>
          <w:color w:val="1A5276"/>
          <w:sz w:val="28"/>
          <w:szCs w:val="28"/>
        </w:rPr>
        <w:t xml:space="preserve">Bitcoin: A Plain-Language Primer for Rhode Island Legislators</w:t>
      </w:r>
    </w:p>
    <w:p>
      <w:pPr>
        <w:pBdr>
          <w:bottom w:val="single" w:color="1A5276" w:sz="6" w:space="4"/>
        </w:pBdr>
        <w:spacing w:after="160"/>
      </w:pPr>
    </w:p>
    <w:p>
      <w:pPr>
        <w:pStyle w:val="Heading2"/>
        <w:spacing w:after="60" w:before="0"/>
      </w:pPr>
      <w:r>
        <w:t xml:space="preserve">WHAT IS BITCOIN?</w:t>
      </w:r>
    </w:p>
    <w:p>
      <w:pPr>
        <w:spacing w:after="100" w:line="252"/>
      </w:pPr>
      <w:r>
        <w:t xml:space="preserve">Bitcoin is digital money. It lets people send value directly to each other over the internet — no bank or payment company in the middle. Transactions are recorded on a </w:t>
      </w:r>
      <w:r>
        <w:rPr>
          <w:b/>
          <w:bCs/>
        </w:rPr>
        <w:t xml:space="preserve">blockchain</w:t>
      </w:r>
      <w:r>
        <w:t xml:space="preserve">: a shared, public ledger that anyone can verify but no single entity controls.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none" w:color="FFFFFF" w:sz="0"/>
              <w:left w:val="none" w:color="FFFFFF" w:sz="0"/>
              <w:bottom w:val="none" w:color="FFFFFF" w:sz="0"/>
              <w:right w:val="none" w:color="FFFFFF" w:sz="0"/>
            </w:tcBorders>
            <w:shd w:fill="D6EAF8" w:val="clear"/>
            <w:tcMar>
              <w:top w:type="dxa" w:w="80"/>
              <w:left w:type="dxa" w:w="100"/>
              <w:bottom w:type="dxa" w:w="80"/>
              <w:right w:type="dxa" w:w="100"/>
            </w:tcMar>
          </w:tcPr>
          <w:p>
            <w:pPr>
              <w:spacing w:after="30"/>
              <w:jc w:val="center"/>
            </w:pPr>
            <w:r>
              <w:rPr>
                <w:b/>
                <w:bCs/>
                <w:color w:val="1A5276"/>
                <w:sz w:val="22"/>
                <w:szCs w:val="22"/>
              </w:rPr>
              <w:t xml:space="preserve">21 Million</w:t>
            </w:r>
          </w:p>
          <w:p>
            <w:pPr>
              <w:spacing w:after="0"/>
              <w:jc w:val="center"/>
            </w:pPr>
            <w:r>
              <w:rPr>
                <w:color w:val="666666"/>
                <w:sz w:val="15"/>
                <w:szCs w:val="15"/>
              </w:rPr>
              <w:t xml:space="preserve">Fixed supply — can never be increased</w:t>
            </w:r>
          </w:p>
        </w:tc>
        <w:tc>
          <w:tcPr>
            <w:tcW w:type="dxa" w:w="2520"/>
            <w:tcBorders>
              <w:top w:val="none" w:color="FFFFFF" w:sz="0"/>
              <w:left w:val="none" w:color="FFFFFF" w:sz="0"/>
              <w:bottom w:val="none" w:color="FFFFFF" w:sz="0"/>
              <w:right w:val="none" w:color="FFFFFF" w:sz="0"/>
            </w:tcBorders>
            <w:shd w:fill="D6EAF8" w:val="clear"/>
            <w:tcMar>
              <w:top w:type="dxa" w:w="80"/>
              <w:left w:type="dxa" w:w="100"/>
              <w:bottom w:type="dxa" w:w="80"/>
              <w:right w:type="dxa" w:w="100"/>
            </w:tcMar>
          </w:tcPr>
          <w:p>
            <w:pPr>
              <w:spacing w:after="30"/>
              <w:jc w:val="center"/>
            </w:pPr>
            <w:r>
              <w:rPr>
                <w:b/>
                <w:bCs/>
                <w:color w:val="1A5276"/>
                <w:sz w:val="22"/>
                <w:szCs w:val="22"/>
              </w:rPr>
              <w:t xml:space="preserve">2009</w:t>
            </w:r>
          </w:p>
          <w:p>
            <w:pPr>
              <w:spacing w:after="0"/>
              <w:jc w:val="center"/>
            </w:pPr>
            <w:r>
              <w:rPr>
                <w:color w:val="666666"/>
                <w:sz w:val="15"/>
                <w:szCs w:val="15"/>
              </w:rPr>
              <w:t xml:space="preserve">Running continuously for 16+ years</w:t>
            </w:r>
          </w:p>
        </w:tc>
        <w:tc>
          <w:tcPr>
            <w:tcW w:type="dxa" w:w="2520"/>
            <w:tcBorders>
              <w:top w:val="none" w:color="FFFFFF" w:sz="0"/>
              <w:left w:val="none" w:color="FFFFFF" w:sz="0"/>
              <w:bottom w:val="none" w:color="FFFFFF" w:sz="0"/>
              <w:right w:val="none" w:color="FFFFFF" w:sz="0"/>
            </w:tcBorders>
            <w:shd w:fill="D6EAF8" w:val="clear"/>
            <w:tcMar>
              <w:top w:type="dxa" w:w="80"/>
              <w:left w:type="dxa" w:w="100"/>
              <w:bottom w:type="dxa" w:w="80"/>
              <w:right w:type="dxa" w:w="100"/>
            </w:tcMar>
          </w:tcPr>
          <w:p>
            <w:pPr>
              <w:spacing w:after="30"/>
              <w:jc w:val="center"/>
            </w:pPr>
            <w:r>
              <w:rPr>
                <w:b/>
                <w:bCs/>
                <w:color w:val="1A5276"/>
                <w:sz w:val="22"/>
                <w:szCs w:val="22"/>
              </w:rPr>
              <w:t xml:space="preserve">$1.7 Trillion</w:t>
            </w:r>
          </w:p>
          <w:p>
            <w:pPr>
              <w:spacing w:after="0"/>
              <w:jc w:val="center"/>
            </w:pPr>
            <w:r>
              <w:rPr>
                <w:color w:val="666666"/>
                <w:sz w:val="15"/>
                <w:szCs w:val="15"/>
              </w:rPr>
              <w:t xml:space="preserve">Market value (March 2026)</w:t>
            </w:r>
          </w:p>
        </w:tc>
        <w:tc>
          <w:tcPr>
            <w:tcW w:type="dxa" w:w="2520"/>
            <w:tcBorders>
              <w:top w:val="none" w:color="FFFFFF" w:sz="0"/>
              <w:left w:val="none" w:color="FFFFFF" w:sz="0"/>
              <w:bottom w:val="none" w:color="FFFFFF" w:sz="0"/>
              <w:right w:val="none" w:color="FFFFFF" w:sz="0"/>
            </w:tcBorders>
            <w:shd w:fill="D6EAF8" w:val="clear"/>
            <w:tcMar>
              <w:top w:type="dxa" w:w="80"/>
              <w:left w:type="dxa" w:w="100"/>
              <w:bottom w:type="dxa" w:w="80"/>
              <w:right w:type="dxa" w:w="100"/>
            </w:tcMar>
          </w:tcPr>
          <w:p>
            <w:pPr>
              <w:spacing w:after="30"/>
              <w:jc w:val="center"/>
            </w:pPr>
            <w:r>
              <w:rPr>
                <w:b/>
                <w:bCs/>
                <w:color w:val="1A5276"/>
                <w:sz w:val="22"/>
                <w:szCs w:val="22"/>
              </w:rPr>
              <w:t xml:space="preserve">106M+</w:t>
            </w:r>
          </w:p>
          <w:p>
            <w:pPr>
              <w:spacing w:after="0"/>
              <w:jc w:val="center"/>
            </w:pPr>
            <w:r>
              <w:rPr>
                <w:color w:val="666666"/>
                <w:sz w:val="15"/>
                <w:szCs w:val="15"/>
              </w:rPr>
              <w:t xml:space="preserve">Americans own crypto (Pew, 2025)</w:t>
            </w:r>
          </w:p>
        </w:tc>
      </w:tr>
    </w:tbl>
    <w:p>
      <w:pPr>
        <w:pStyle w:val="Heading2"/>
      </w:pPr>
      <w:r>
        <w:t xml:space="preserve">HOW DOES IT WORK? (IN 60 SECONDS)</w:t>
      </w:r>
    </w:p>
    <w:p>
      <w:pPr>
        <w:pStyle w:val="ListParagraph"/>
        <w:numPr>
          <w:ilvl w:val="0"/>
          <w:numId w:val="2"/>
        </w:numPr>
        <w:spacing w:after="60" w:line="252"/>
      </w:pPr>
      <w:r>
        <w:t xml:space="preserve">You download a wallet app on your phone — a digital bank account you control directly.</w:t>
      </w:r>
    </w:p>
    <w:p>
      <w:pPr>
        <w:pStyle w:val="ListParagraph"/>
        <w:numPr>
          <w:ilvl w:val="0"/>
          <w:numId w:val="2"/>
        </w:numPr>
        <w:spacing w:after="60" w:line="252"/>
      </w:pPr>
      <w:r>
        <w:t xml:space="preserve">Buy Bitcoin through an exchange (Coinbase, Kraken) or receive it from someone else.</w:t>
      </w:r>
    </w:p>
    <w:p>
      <w:pPr>
        <w:pStyle w:val="ListParagraph"/>
        <w:numPr>
          <w:ilvl w:val="0"/>
          <w:numId w:val="2"/>
        </w:numPr>
        <w:spacing w:after="60" w:line="252"/>
      </w:pPr>
      <w:r>
        <w:t xml:space="preserve">Transactions are broadcast to a global network that verifies them and adds them to the blockchain — permanently and publicly.</w:t>
      </w:r>
    </w:p>
    <w:p>
      <w:pPr>
        <w:pStyle w:val="ListParagraph"/>
        <w:numPr>
          <w:ilvl w:val="0"/>
          <w:numId w:val="2"/>
        </w:numPr>
        <w:spacing w:after="60" w:line="252"/>
      </w:pPr>
      <w:r>
        <w:t xml:space="preserve">Your </w:t>
      </w:r>
      <w:r>
        <w:rPr>
          <w:b/>
          <w:bCs/>
        </w:rPr>
        <w:t xml:space="preserve">private key</w:t>
      </w:r>
      <w:r>
        <w:t xml:space="preserve"> controls your Bitcoin. Whoever holds the key holds the funds — which is why protecting it matters (see H 7957 / S 2196 below).</w:t>
      </w:r>
    </w:p>
    <w:p>
      <w:pPr>
        <w:pStyle w:val="Heading2"/>
      </w:pPr>
      <w:r>
        <w:t xml:space="preserve">WHAT’S RHODE ISLAND DOING ABOUT IT? — BILLS IN SESSION</w:t>
      </w:r>
    </w:p>
    <w:p>
      <w:pPr>
        <w:spacing w:after="80" w:line="252"/>
      </w:pPr>
      <w:r>
        <w:rPr>
          <w:sz w:val="19"/>
          <w:szCs w:val="19"/>
        </w:rPr>
        <w:t xml:space="preserve">Rhode Island has five active measures across both chambers. Together they form a comprehensive framework: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0"/>
        <w:gridCol w:w="3240"/>
        <w:gridCol w:w="5040"/>
      </w:tblGrid>
      <w:tr>
        <w:tc>
          <w:tcPr>
            <w:tcW w:type="dxa" w:w="1800"/>
            <w:tcBorders>
              <w:top w:val="single" w:color="CCCCCC" w:sz="1"/>
              <w:left w:val="single" w:color="CCCCCC" w:sz="1"/>
              <w:bottom w:val="single" w:color="CCCCCC" w:sz="1"/>
              <w:right w:val="single" w:color="CCCCCC" w:sz="1"/>
            </w:tcBorders>
            <w:shd w:fill="1A5276" w:val="clear"/>
            <w:tcMar>
              <w:top w:type="dxa" w:w="60"/>
              <w:left w:type="dxa" w:w="100"/>
              <w:bottom w:type="dxa" w:w="60"/>
              <w:right w:type="dxa" w:w="100"/>
            </w:tcMar>
          </w:tcPr>
          <w:p>
            <w:pPr>
              <w:spacing w:after="0"/>
            </w:pPr>
            <w:r>
              <w:rPr>
                <w:rFonts w:ascii="Arial" w:cs="Arial" w:eastAsia="Arial" w:hAnsi="Arial"/>
                <w:b/>
                <w:bCs/>
                <w:color w:val="FFFFFF"/>
                <w:sz w:val="18"/>
                <w:szCs w:val="18"/>
              </w:rPr>
              <w:t xml:space="preserve">Bill(s)</w:t>
            </w:r>
          </w:p>
        </w:tc>
        <w:tc>
          <w:tcPr>
            <w:tcW w:type="dxa" w:w="3240"/>
            <w:tcBorders>
              <w:top w:val="single" w:color="CCCCCC" w:sz="1"/>
              <w:left w:val="single" w:color="CCCCCC" w:sz="1"/>
              <w:bottom w:val="single" w:color="CCCCCC" w:sz="1"/>
              <w:right w:val="single" w:color="CCCCCC" w:sz="1"/>
            </w:tcBorders>
            <w:shd w:fill="1A5276" w:val="clear"/>
            <w:tcMar>
              <w:top w:type="dxa" w:w="60"/>
              <w:left w:type="dxa" w:w="100"/>
              <w:bottom w:type="dxa" w:w="60"/>
              <w:right w:type="dxa" w:w="100"/>
            </w:tcMar>
          </w:tcPr>
          <w:p>
            <w:pPr>
              <w:spacing w:after="0"/>
            </w:pPr>
            <w:r>
              <w:rPr>
                <w:rFonts w:ascii="Arial" w:cs="Arial" w:eastAsia="Arial" w:hAnsi="Arial"/>
                <w:b/>
                <w:bCs/>
                <w:color w:val="FFFFFF"/>
                <w:sz w:val="18"/>
                <w:szCs w:val="18"/>
              </w:rPr>
              <w:t xml:space="preserve">Topic</w:t>
            </w:r>
          </w:p>
        </w:tc>
        <w:tc>
          <w:tcPr>
            <w:tcW w:type="dxa" w:w="5040"/>
            <w:tcBorders>
              <w:top w:val="single" w:color="CCCCCC" w:sz="1"/>
              <w:left w:val="single" w:color="CCCCCC" w:sz="1"/>
              <w:bottom w:val="single" w:color="CCCCCC" w:sz="1"/>
              <w:right w:val="single" w:color="CCCCCC" w:sz="1"/>
            </w:tcBorders>
            <w:shd w:fill="1A5276" w:val="clear"/>
            <w:tcMar>
              <w:top w:type="dxa" w:w="60"/>
              <w:left w:type="dxa" w:w="100"/>
              <w:bottom w:type="dxa" w:w="60"/>
              <w:right w:type="dxa" w:w="100"/>
            </w:tcMar>
          </w:tcPr>
          <w:p>
            <w:pPr>
              <w:spacing w:after="0"/>
            </w:pPr>
            <w:r>
              <w:rPr>
                <w:rFonts w:ascii="Arial" w:cs="Arial" w:eastAsia="Arial" w:hAnsi="Arial"/>
                <w:b/>
                <w:bCs/>
                <w:color w:val="FFFFFF"/>
                <w:sz w:val="18"/>
                <w:szCs w:val="18"/>
              </w:rPr>
              <w:t xml:space="preserve">What It Does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color w:val="1A5276"/>
                <w:sz w:val="18"/>
                <w:szCs w:val="18"/>
              </w:rPr>
              <w:t xml:space="preserve">H 7956</w:t>
            </w:r>
          </w:p>
          <w:p>
            <w:pPr>
              <w:spacing w:after="0"/>
            </w:pPr>
            <w:r>
              <w:rPr>
                <w:b/>
                <w:bCs/>
                <w:color w:val="1A5276"/>
                <w:sz w:val="18"/>
                <w:szCs w:val="18"/>
              </w:rPr>
              <w:t xml:space="preserve">S 2198</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sz w:val="18"/>
                <w:szCs w:val="18"/>
              </w:rPr>
              <w:t xml:space="preserve">Study Blockchain’s Potential</w:t>
            </w:r>
          </w:p>
        </w:tc>
        <w:tc>
          <w:tcPr>
            <w:tcW w:type="dxa" w:w="50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line="240"/>
            </w:pPr>
            <w:r>
              <w:rPr>
                <w:sz w:val="18"/>
                <w:szCs w:val="18"/>
              </w:rPr>
              <w:t xml:space="preserve">Creates a 5-member commission to study blockchain/crypto and recommend legislation. Passed the Senate unanimously in 2025 as S0373.</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color w:val="1A5276"/>
                <w:sz w:val="18"/>
                <w:szCs w:val="18"/>
              </w:rPr>
              <w:t xml:space="preserve">H 7413</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sz w:val="18"/>
                <w:szCs w:val="18"/>
              </w:rPr>
              <w:t xml:space="preserve">Encourage Blockchain Innovation</w:t>
            </w:r>
          </w:p>
        </w:tc>
        <w:tc>
          <w:tcPr>
            <w:tcW w:type="dxa" w:w="50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line="240"/>
            </w:pPr>
            <w:r>
              <w:rPr>
                <w:sz w:val="18"/>
                <w:szCs w:val="18"/>
              </w:rPr>
              <w:t xml:space="preserve">Establishes a regulatory sandbox and Special Purpose Depository Institutions (SPDIs) for blockchain businesses — only Wyoming and Nebraska have them so far.</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color w:val="1A5276"/>
                <w:sz w:val="18"/>
                <w:szCs w:val="18"/>
              </w:rPr>
              <w:t xml:space="preserve">H 6007</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sz w:val="18"/>
                <w:szCs w:val="18"/>
              </w:rPr>
              <w:t xml:space="preserve">Enable Treasury Digital Assets</w:t>
            </w:r>
          </w:p>
        </w:tc>
        <w:tc>
          <w:tcPr>
            <w:tcW w:type="dxa" w:w="50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line="240"/>
            </w:pPr>
            <w:r>
              <w:rPr>
                <w:sz w:val="18"/>
                <w:szCs w:val="18"/>
              </w:rPr>
              <w:t xml:space="preserve">Allows the state treasurer to invest up to 10% of uncommitted funds in digital assets. New Hampshire passed similar legislation (HB302) in 2025. Pending 2026 introduction.</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color w:val="1A5276"/>
                <w:sz w:val="18"/>
                <w:szCs w:val="18"/>
              </w:rPr>
              <w:t xml:space="preserve">H 7957</w:t>
            </w:r>
          </w:p>
          <w:p>
            <w:pPr>
              <w:spacing w:after="0"/>
            </w:pPr>
            <w:r>
              <w:rPr>
                <w:b/>
                <w:bCs/>
                <w:color w:val="1A5276"/>
                <w:sz w:val="18"/>
                <w:szCs w:val="18"/>
              </w:rPr>
              <w:t xml:space="preserve">S 2196</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sz w:val="18"/>
                <w:szCs w:val="18"/>
              </w:rPr>
              <w:t xml:space="preserve">Protect Citizens’ Private Keys</w:t>
            </w:r>
          </w:p>
        </w:tc>
        <w:tc>
          <w:tcPr>
            <w:tcW w:type="dxa" w:w="50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line="240"/>
            </w:pPr>
            <w:r>
              <w:rPr>
                <w:sz w:val="18"/>
                <w:szCs w:val="18"/>
              </w:rPr>
              <w:t xml:space="preserve">Prohibits compelling disclosure of private cryptographic keys in legal proceedings, with a public-key exception. Modeled on Wyoming’s HB0086 (2023).</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color w:val="1A5276"/>
                <w:sz w:val="18"/>
                <w:szCs w:val="18"/>
              </w:rPr>
              <w:t xml:space="preserve">S 2021</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b/>
                <w:bCs/>
                <w:sz w:val="18"/>
                <w:szCs w:val="18"/>
              </w:rPr>
              <w:t xml:space="preserve">Reduce Friction for Payments</w:t>
            </w:r>
          </w:p>
        </w:tc>
        <w:tc>
          <w:tcPr>
            <w:tcW w:type="dxa" w:w="50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line="240"/>
            </w:pPr>
            <w:r>
              <w:rPr>
                <w:sz w:val="18"/>
                <w:szCs w:val="18"/>
              </w:rPr>
              <w:t xml:space="preserve">Exempts small-scale Bitcoin transactions (up to $5,000/mo) from state income tax, encouraging everyday use and small-business adoption. RI would be the first state to pass this.</w:t>
            </w:r>
          </w:p>
        </w:tc>
      </w:tr>
    </w:tbl>
    <w:p>
      <w:pPr>
        <w:pStyle w:val="Heading2"/>
      </w:pPr>
      <w:r>
        <w:t xml:space="preserve">COMMON QUESTIONS</w:t>
      </w:r>
    </w:p>
    <w:p>
      <w:pPr>
        <w:spacing w:after="80" w:line="252"/>
      </w:pPr>
      <w:r>
        <w:rPr>
          <w:b/>
          <w:bCs/>
          <w:i/>
          <w:iCs/>
          <w:sz w:val="18"/>
          <w:szCs w:val="18"/>
        </w:rPr>
        <w:t xml:space="preserve">Is it only used for illegal activity? </w:t>
      </w:r>
      <w:r>
        <w:rPr>
          <w:sz w:val="18"/>
          <w:szCs w:val="18"/>
        </w:rPr>
        <w:t xml:space="preserve">No. Bitcoin’s public ledger makes it one of the most traceable forms of money. The DOJ and IRS use blockchain analytics to track and seize criminal funds. Cash is far more anonymous.</w:t>
      </w:r>
    </w:p>
    <w:p>
      <w:pPr>
        <w:spacing w:after="80" w:line="252"/>
      </w:pPr>
      <w:r>
        <w:rPr>
          <w:b/>
          <w:bCs/>
          <w:i/>
          <w:iCs/>
          <w:sz w:val="18"/>
          <w:szCs w:val="18"/>
        </w:rPr>
        <w:t xml:space="preserve">What about the energy? </w:t>
      </w:r>
      <w:r>
        <w:rPr>
          <w:sz w:val="18"/>
          <w:szCs w:val="18"/>
        </w:rPr>
        <w:t xml:space="preserve">52.4% of Bitcoin mining uses sustainable energy (Cambridge CCAF, 2025). Miners increasingly monetize stranded energy — flared gas, excess hydro, geothermal — that would otherwise go to waste.</w:t>
      </w:r>
    </w:p>
    <w:p>
      <w:pPr>
        <w:spacing w:after="80" w:line="252"/>
      </w:pPr>
      <w:r>
        <w:rPr>
          <w:b/>
          <w:bCs/>
          <w:i/>
          <w:iCs/>
          <w:sz w:val="18"/>
          <w:szCs w:val="18"/>
        </w:rPr>
        <w:t xml:space="preserve">Is it too volatile? </w:t>
      </w:r>
      <w:r>
        <w:rPr>
          <w:sz w:val="18"/>
          <w:szCs w:val="18"/>
        </w:rPr>
        <w:t xml:space="preserve">Volatility has decreased as adoption has grown. BlackRock, Fidelity, and state pension funds now hold Bitcoin. The policy question isn’t whether to endorse it but how to ensure RI has smart rules as adoption continues.</w:t>
      </w:r>
    </w:p>
    <w:p>
      <w:pPr>
        <w:pBdr>
          <w:bottom w:val="single" w:color="1A5276" w:sz="4" w:space="4"/>
        </w:pBdr>
        <w:spacing w:after="80" w:before="120"/>
      </w:pPr>
    </w:p>
    <w:p>
      <w:pPr>
        <w:spacing w:after="0"/>
      </w:pPr>
      <w:r>
        <w:rPr>
          <w:color w:val="666666"/>
          <w:sz w:val="16"/>
          <w:szCs w:val="16"/>
        </w:rPr>
        <w:t xml:space="preserve">Prepared by </w:t>
      </w:r>
      <w:r>
        <w:rPr>
          <w:b/>
          <w:bCs/>
          <w:color w:val="666666"/>
          <w:sz w:val="16"/>
          <w:szCs w:val="16"/>
        </w:rPr>
        <w:t xml:space="preserve">Dan Hersey</w:t>
      </w:r>
      <w:r>
        <w:rPr>
          <w:color w:val="666666"/>
          <w:sz w:val="16"/>
          <w:szCs w:val="16"/>
        </w:rPr>
        <w:t xml:space="preserve"> | Founder, Rhode Island Bitcoin Policy Initiative | dan@ribpi.com | @RIBTCPolicy</w:t>
      </w:r>
    </w:p>
    <w:sectPr>
      <w:headerReference w:type="default" r:id="rId7"/>
      <w:pgSz w:w="12240" w:h="15840" w:orient="portrait"/>
      <w:pgMar w:top="860" w:right="1080" w:bottom="6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Arial" w:cs="Arial" w:eastAsia="Arial" w:hAnsi="Arial"/>
        <w:i/>
        <w:iCs/>
        <w:color w:val="666666"/>
        <w:sz w:val="16"/>
        <w:szCs w:val="16"/>
      </w:rPr>
      <w:t xml:space="preserve">Rhode Island Bitcoin Policy Initiative</w:t>
    </w:r>
    <w:r>
      <w:rPr>
        <w:color w:val="666666"/>
        <w:sz w:val="16"/>
        <w:szCs w:val="16"/>
      </w:rPr>
      <w:t xml:space="preserve">  |  </w:t>
    </w:r>
    <w:r>
      <w:rPr>
        <w:i/>
        <w:iCs/>
        <w:color w:val="666666"/>
        <w:sz w:val="16"/>
        <w:szCs w:val="16"/>
      </w:rPr>
      <w:t xml:space="preserve">ribpi.com</w:t>
    </w:r>
    <w:r>
      <w:rPr>
        <w:color w:val="666666"/>
        <w:sz w:val="16"/>
        <w:szCs w:val="16"/>
      </w:rPr>
      <w:t xml:space="preserve">  |  </w:t>
    </w:r>
    <w:r>
      <w:rPr>
        <w:i/>
        <w:iCs/>
        <w:color w:val="666666"/>
        <w:sz w:val="16"/>
        <w:szCs w:val="16"/>
      </w:rPr>
      <w:t xml:space="preserve">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0"/>
      <w:outlineLvl w:val="0"/>
    </w:pPr>
    <w:rPr>
      <w:rFonts w:ascii="Arial" w:cs="Arial" w:eastAsia="Arial" w:hAnsi="Arial"/>
      <w:b/>
      <w:bCs/>
      <w:color w:val="1A5276"/>
      <w:sz w:val="28"/>
      <w:szCs w:val="28"/>
    </w:rPr>
  </w:style>
  <w:style w:type="paragraph" w:styleId="Heading2">
    <w:name w:val="Heading 2"/>
    <w:basedOn w:val="Normal"/>
    <w:next w:val="Normal"/>
    <w:qFormat/>
    <w:pPr>
      <w:spacing w:after="60" w:before="160"/>
      <w:outlineLvl w:val="1"/>
    </w:pPr>
    <w:rPr>
      <w:rFonts w:ascii="Arial" w:cs="Arial" w:eastAsia="Arial" w:hAnsi="Arial"/>
      <w:b/>
      <w:bCs/>
      <w:color w:val="1A527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2026-03-06T16:12:45.360Z</dcterms:created>
  <dcterms:modified xsi:type="dcterms:W3CDTF">2026-03-06T16:12:45.360Z</dcterms:modified>
</cp:coreProperties>
</file>

<file path=docProps/custom.xml><?xml version="1.0" encoding="utf-8"?>
<Properties xmlns="http://schemas.openxmlformats.org/officeDocument/2006/custom-properties" xmlns:vt="http://schemas.openxmlformats.org/officeDocument/2006/docPropsVTypes"/>
</file>